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3B5" w:rsidRDefault="0035261E">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TSG-RAN2#116bis-</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bookmarkStart w:id="0" w:name="_GoBack"/>
      <w:bookmarkEnd w:id="0"/>
      <w:r w:rsidR="00612BA7" w:rsidRPr="00612BA7">
        <w:rPr>
          <w:rFonts w:eastAsia="맑은 고딕" w:cs="Arial"/>
          <w:b/>
          <w:i/>
          <w:noProof/>
          <w:color w:val="000000" w:themeColor="text1"/>
          <w:sz w:val="32"/>
          <w:szCs w:val="32"/>
          <w:lang w:eastAsia="ko-KR"/>
        </w:rPr>
        <w:t>R2-2201356</w:t>
      </w:r>
    </w:p>
    <w:p w:rsidR="008F23B5" w:rsidRDefault="0035261E">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17th Jan - 25th Jan 2022</w:t>
      </w:r>
      <w:r>
        <w:rPr>
          <w:rFonts w:eastAsia="맑은 고딕" w:cs="Arial"/>
          <w:b/>
          <w:noProof/>
          <w:color w:val="000000" w:themeColor="text1"/>
          <w:sz w:val="24"/>
          <w:lang w:eastAsia="ko-KR"/>
        </w:rPr>
        <w:tab/>
      </w:r>
    </w:p>
    <w:p w:rsidR="008F23B5" w:rsidRDefault="0035261E">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8F23B5" w:rsidRDefault="008F23B5">
      <w:pPr>
        <w:pStyle w:val="CRCoverPage"/>
        <w:tabs>
          <w:tab w:val="right" w:pos="9639"/>
        </w:tabs>
        <w:spacing w:after="0"/>
        <w:rPr>
          <w:rFonts w:eastAsia="맑은 고딕"/>
          <w:b/>
          <w:noProof/>
          <w:color w:val="000000" w:themeColor="text1"/>
          <w:sz w:val="24"/>
          <w:lang w:eastAsia="ko-KR"/>
        </w:rPr>
      </w:pPr>
    </w:p>
    <w:p w:rsidR="008F23B5" w:rsidRDefault="0035261E">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8.6.4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8F23B5" w:rsidRDefault="0035261E">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8F23B5" w:rsidRDefault="0035261E">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r>
      <w:r>
        <w:rPr>
          <w:rFonts w:ascii="Arial" w:hAnsi="Arial"/>
          <w:color w:val="000000" w:themeColor="text1"/>
          <w:sz w:val="24"/>
          <w:lang w:val="en-US" w:eastAsia="ko-KR"/>
        </w:rPr>
        <w:t>Discussion on Carrier selection for SDT</w:t>
      </w:r>
    </w:p>
    <w:p w:rsidR="008F23B5" w:rsidRDefault="0035261E">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8F23B5" w:rsidRDefault="0035261E">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8F23B5" w:rsidRDefault="0035261E">
      <w:pPr>
        <w:widowControl/>
        <w:adjustRightInd/>
        <w:spacing w:line="259" w:lineRule="auto"/>
        <w:jc w:val="left"/>
        <w:textAlignment w:val="auto"/>
        <w:rPr>
          <w:rFonts w:ascii="Arial" w:eastAsia="Times New Roman" w:hAnsi="Arial"/>
          <w:lang w:eastAsia="ja-JP"/>
        </w:rPr>
      </w:pPr>
      <w:r>
        <w:rPr>
          <w:rFonts w:hint="eastAsia"/>
          <w:color w:val="000000" w:themeColor="text1"/>
          <w:lang w:val="en-US" w:eastAsia="ko-KR"/>
        </w:rPr>
        <w:t xml:space="preserve">In </w:t>
      </w:r>
      <w:r>
        <w:rPr>
          <w:color w:val="000000" w:themeColor="text1"/>
          <w:lang w:val="en-US" w:eastAsia="ko-KR"/>
        </w:rPr>
        <w:t xml:space="preserve">RACH partitioning in RAN2#115-e, RAN2 agreed to perform UL carrier selection prior to RACH resource selection as follows, and feature combination is not considered in UL carrier selection. </w:t>
      </w:r>
    </w:p>
    <w:tbl>
      <w:tblPr>
        <w:tblStyle w:val="31"/>
        <w:tblW w:w="0" w:type="auto"/>
        <w:tblInd w:w="1165" w:type="dxa"/>
        <w:tblLook w:val="04A0" w:firstRow="1" w:lastRow="0" w:firstColumn="1" w:lastColumn="0" w:noHBand="0" w:noVBand="1"/>
      </w:tblPr>
      <w:tblGrid>
        <w:gridCol w:w="8466"/>
      </w:tblGrid>
      <w:tr w:rsidR="008F23B5">
        <w:tc>
          <w:tcPr>
            <w:tcW w:w="9029" w:type="dxa"/>
          </w:tcPr>
          <w:p w:rsidR="008F23B5" w:rsidRDefault="0035261E">
            <w:pPr>
              <w:widowControl/>
              <w:tabs>
                <w:tab w:val="left" w:pos="1622"/>
              </w:tabs>
              <w:overflowPunct w:val="0"/>
              <w:autoSpaceDE w:val="0"/>
              <w:autoSpaceDN w:val="0"/>
              <w:spacing w:after="0" w:line="240" w:lineRule="auto"/>
              <w:ind w:left="363" w:hanging="363"/>
              <w:jc w:val="left"/>
              <w:rPr>
                <w:rFonts w:ascii="Arial" w:eastAsia="Times New Roman" w:hAnsi="Arial"/>
                <w:b/>
                <w:bCs/>
                <w:lang w:eastAsia="ja-JP"/>
              </w:rPr>
            </w:pPr>
            <w:r>
              <w:rPr>
                <w:rFonts w:ascii="Arial" w:eastAsia="Times New Roman" w:hAnsi="Arial"/>
                <w:b/>
                <w:bCs/>
                <w:lang w:eastAsia="ja-JP"/>
              </w:rPr>
              <w:t>Agreements:</w:t>
            </w:r>
          </w:p>
          <w:p w:rsidR="008F23B5" w:rsidRDefault="0035261E">
            <w:pPr>
              <w:widowControl/>
              <w:tabs>
                <w:tab w:val="left" w:pos="1622"/>
              </w:tabs>
              <w:overflowPunct w:val="0"/>
              <w:autoSpaceDE w:val="0"/>
              <w:autoSpaceDN w:val="0"/>
              <w:spacing w:after="0" w:line="240" w:lineRule="auto"/>
              <w:ind w:left="363" w:hanging="363"/>
              <w:jc w:val="left"/>
              <w:rPr>
                <w:rFonts w:ascii="Arial" w:eastAsia="Times New Roman" w:hAnsi="Arial"/>
                <w:lang w:eastAsia="ja-JP"/>
              </w:rPr>
            </w:pPr>
            <w:r>
              <w:rPr>
                <w:rFonts w:ascii="Arial" w:eastAsia="Times New Roman" w:hAnsi="Arial"/>
                <w:lang w:eastAsia="ja-JP"/>
              </w:rPr>
              <w:t>6.</w:t>
            </w:r>
            <w:r>
              <w:rPr>
                <w:rFonts w:ascii="Arial" w:eastAsia="Times New Roman" w:hAnsi="Arial"/>
                <w:lang w:eastAsia="ja-JP"/>
              </w:rPr>
              <w:tab/>
              <w:t xml:space="preserve">As a baseline, the RA procedure design for Rel-17 should adhere to the following general principles: </w:t>
            </w:r>
          </w:p>
          <w:p w:rsidR="008F23B5" w:rsidRDefault="0035261E">
            <w:pPr>
              <w:widowControl/>
              <w:tabs>
                <w:tab w:val="left" w:pos="1622"/>
              </w:tabs>
              <w:overflowPunct w:val="0"/>
              <w:autoSpaceDE w:val="0"/>
              <w:autoSpaceDN w:val="0"/>
              <w:spacing w:after="0" w:line="240" w:lineRule="auto"/>
              <w:ind w:left="726" w:hanging="363"/>
              <w:jc w:val="left"/>
              <w:rPr>
                <w:rFonts w:ascii="Arial" w:eastAsia="Times New Roman" w:hAnsi="Arial"/>
                <w:lang w:eastAsia="ja-JP"/>
              </w:rPr>
            </w:pPr>
            <w:r>
              <w:rPr>
                <w:rFonts w:ascii="Arial" w:eastAsia="Times New Roman" w:hAnsi="Arial"/>
                <w:highlight w:val="yellow"/>
                <w:lang w:eastAsia="ja-JP"/>
              </w:rPr>
              <w:t>a: Carrier selection (between NUL/SUL) should happen ahead of the initial RACH resource selection (i.e. feature combination is not considered in carrier selection</w:t>
            </w:r>
            <w:r>
              <w:rPr>
                <w:rFonts w:ascii="Arial" w:eastAsia="Times New Roman" w:hAnsi="Arial"/>
                <w:lang w:eastAsia="ja-JP"/>
              </w:rPr>
              <w:t xml:space="preserve">).   </w:t>
            </w:r>
          </w:p>
          <w:p w:rsidR="008F23B5" w:rsidRDefault="0035261E">
            <w:pPr>
              <w:widowControl/>
              <w:tabs>
                <w:tab w:val="left" w:pos="1622"/>
              </w:tabs>
              <w:overflowPunct w:val="0"/>
              <w:autoSpaceDE w:val="0"/>
              <w:autoSpaceDN w:val="0"/>
              <w:spacing w:after="0" w:line="240" w:lineRule="auto"/>
              <w:ind w:left="726" w:hanging="363"/>
              <w:jc w:val="left"/>
              <w:rPr>
                <w:rFonts w:ascii="Arial" w:eastAsia="Times New Roman" w:hAnsi="Arial"/>
                <w:lang w:eastAsia="ja-JP"/>
              </w:rPr>
            </w:pPr>
            <w:r>
              <w:rPr>
                <w:rFonts w:ascii="Arial" w:eastAsia="Times New Roman" w:hAnsi="Arial"/>
                <w:lang w:eastAsia="ja-JP"/>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rsidR="008F23B5" w:rsidRDefault="0035261E">
            <w:pPr>
              <w:widowControl/>
              <w:tabs>
                <w:tab w:val="left" w:pos="1622"/>
              </w:tabs>
              <w:overflowPunct w:val="0"/>
              <w:autoSpaceDE w:val="0"/>
              <w:autoSpaceDN w:val="0"/>
              <w:spacing w:after="0" w:line="240" w:lineRule="auto"/>
              <w:ind w:left="363"/>
              <w:jc w:val="left"/>
              <w:rPr>
                <w:rFonts w:ascii="Arial" w:eastAsia="Times New Roman" w:hAnsi="Arial"/>
                <w:lang w:eastAsia="ja-JP"/>
              </w:rPr>
            </w:pPr>
            <w:r>
              <w:rPr>
                <w:rFonts w:ascii="Arial" w:eastAsia="Times New Roman" w:hAnsi="Arial"/>
                <w:lang w:eastAsia="ja-JP"/>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rsidR="008F23B5" w:rsidRDefault="008F23B5">
      <w:pPr>
        <w:widowControl/>
        <w:tabs>
          <w:tab w:val="left" w:pos="1622"/>
        </w:tabs>
        <w:overflowPunct w:val="0"/>
        <w:autoSpaceDE w:val="0"/>
        <w:autoSpaceDN w:val="0"/>
        <w:spacing w:after="0" w:line="240" w:lineRule="auto"/>
        <w:jc w:val="left"/>
        <w:rPr>
          <w:rFonts w:ascii="Arial" w:eastAsia="Times New Roman" w:hAnsi="Arial"/>
          <w:lang w:eastAsia="ja-JP"/>
        </w:rPr>
      </w:pPr>
    </w:p>
    <w:p w:rsidR="008F23B5" w:rsidRDefault="0035261E">
      <w:pPr>
        <w:widowControl/>
        <w:adjustRightInd/>
        <w:spacing w:line="259" w:lineRule="auto"/>
        <w:jc w:val="left"/>
        <w:textAlignment w:val="auto"/>
        <w:rPr>
          <w:color w:val="000000" w:themeColor="text1"/>
          <w:lang w:val="en-US" w:eastAsia="ko-KR"/>
        </w:rPr>
      </w:pPr>
      <w:r>
        <w:rPr>
          <w:color w:val="000000" w:themeColor="text1"/>
          <w:lang w:val="en-US" w:eastAsia="ko-KR"/>
        </w:rPr>
        <w:t xml:space="preserve">This agreement means that the UE selects a UL carrier between NUL and SUL regardless of the SDT configuration. </w:t>
      </w:r>
      <w:r>
        <w:rPr>
          <w:rFonts w:hint="eastAsia"/>
          <w:color w:val="000000" w:themeColor="text1"/>
          <w:lang w:val="en-US" w:eastAsia="ko-KR"/>
        </w:rPr>
        <w:t xml:space="preserve">However, </w:t>
      </w:r>
      <w:r>
        <w:rPr>
          <w:color w:val="000000" w:themeColor="text1"/>
          <w:lang w:val="en-US" w:eastAsia="ko-KR"/>
        </w:rPr>
        <w:t xml:space="preserve">we think </w:t>
      </w:r>
      <w:r>
        <w:rPr>
          <w:rFonts w:hint="eastAsia"/>
          <w:color w:val="000000" w:themeColor="text1"/>
          <w:lang w:val="en-US" w:eastAsia="ko-KR"/>
        </w:rPr>
        <w:t>th</w:t>
      </w:r>
      <w:r>
        <w:rPr>
          <w:color w:val="000000" w:themeColor="text1"/>
          <w:lang w:val="en-US" w:eastAsia="ko-KR"/>
        </w:rPr>
        <w:t xml:space="preserve">is agreement makes an issue in SDT procedure in the current MAC running CR [1]. </w:t>
      </w:r>
    </w:p>
    <w:p w:rsidR="008F23B5" w:rsidRDefault="0035261E">
      <w:pPr>
        <w:widowControl/>
        <w:adjustRightInd/>
        <w:spacing w:line="259" w:lineRule="auto"/>
        <w:jc w:val="left"/>
        <w:textAlignment w:val="auto"/>
        <w:rPr>
          <w:color w:val="000000" w:themeColor="text1"/>
          <w:lang w:val="en-US" w:eastAsia="ko-KR"/>
        </w:rPr>
      </w:pPr>
      <w:r>
        <w:rPr>
          <w:color w:val="000000" w:themeColor="text1"/>
          <w:lang w:val="en-US" w:eastAsia="ko-KR"/>
        </w:rPr>
        <w:t>In this paper, we provide our view to resolve this confliction.</w:t>
      </w:r>
    </w:p>
    <w:p w:rsidR="008F23B5" w:rsidRDefault="008F23B5">
      <w:pPr>
        <w:widowControl/>
        <w:adjustRightInd/>
        <w:spacing w:line="259" w:lineRule="auto"/>
        <w:jc w:val="left"/>
        <w:textAlignment w:val="auto"/>
        <w:rPr>
          <w:color w:val="000000" w:themeColor="text1"/>
          <w:lang w:val="en-US" w:eastAsia="ko-KR"/>
        </w:rPr>
      </w:pPr>
    </w:p>
    <w:p w:rsidR="008F23B5" w:rsidRDefault="0035261E">
      <w:pPr>
        <w:pStyle w:val="1"/>
        <w:rPr>
          <w:color w:val="000000" w:themeColor="text1"/>
          <w:lang w:val="en-US"/>
        </w:rPr>
      </w:pPr>
      <w:r>
        <w:rPr>
          <w:color w:val="000000" w:themeColor="text1"/>
          <w:lang w:val="en-US"/>
        </w:rPr>
        <w:t>2.</w:t>
      </w:r>
      <w:r>
        <w:rPr>
          <w:color w:val="000000" w:themeColor="text1"/>
          <w:lang w:val="en-US"/>
        </w:rPr>
        <w:tab/>
        <w:t>Discussion</w:t>
      </w:r>
    </w:p>
    <w:p w:rsidR="008F23B5" w:rsidRDefault="0035261E">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According </w:t>
      </w:r>
      <w:r>
        <w:rPr>
          <w:color w:val="000000" w:themeColor="text1"/>
          <w:lang w:val="en-US" w:eastAsia="ko-KR"/>
        </w:rPr>
        <w:t>to the</w:t>
      </w:r>
      <w:r>
        <w:rPr>
          <w:rFonts w:hint="eastAsia"/>
          <w:color w:val="000000" w:themeColor="text1"/>
          <w:lang w:val="en-US" w:eastAsia="ko-KR"/>
        </w:rPr>
        <w:t xml:space="preserve"> </w:t>
      </w:r>
      <w:r>
        <w:rPr>
          <w:color w:val="000000" w:themeColor="text1"/>
          <w:lang w:val="en-US" w:eastAsia="ko-KR"/>
        </w:rPr>
        <w:t>current MAC specification, RACH procedure is simply depicted as follows.</w:t>
      </w:r>
    </w:p>
    <w:p w:rsidR="008F23B5" w:rsidRDefault="0035261E">
      <w:pPr>
        <w:widowControl/>
        <w:adjustRightInd/>
        <w:spacing w:line="259" w:lineRule="auto"/>
        <w:jc w:val="center"/>
        <w:textAlignment w:val="auto"/>
        <w:rPr>
          <w:color w:val="000000" w:themeColor="text1"/>
          <w:lang w:val="en-US" w:eastAsia="ko-KR"/>
        </w:rPr>
      </w:pPr>
      <w:r>
        <w:object w:dxaOrig="14691" w:dyaOrig="1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4.5pt" o:ole="">
            <v:imagedata r:id="rId9" o:title=""/>
          </v:shape>
          <o:OLEObject Type="Embed" ProgID="Visio.Drawing.15" ShapeID="_x0000_i1025" DrawAspect="Content" ObjectID="_1703422568" r:id="rId10"/>
        </w:object>
      </w:r>
    </w:p>
    <w:p w:rsidR="008F23B5" w:rsidRDefault="0035261E">
      <w:pPr>
        <w:widowControl/>
        <w:adjustRightInd/>
        <w:spacing w:line="259" w:lineRule="auto"/>
        <w:jc w:val="center"/>
        <w:textAlignment w:val="auto"/>
        <w:rPr>
          <w:color w:val="000000" w:themeColor="text1"/>
          <w:lang w:val="en-US" w:eastAsia="ko-KR"/>
        </w:rPr>
      </w:pPr>
      <w:r>
        <w:rPr>
          <w:rFonts w:hint="eastAsia"/>
          <w:color w:val="000000" w:themeColor="text1"/>
          <w:lang w:val="en-US" w:eastAsia="ko-KR"/>
        </w:rPr>
        <w:t xml:space="preserve">Figure 1. </w:t>
      </w:r>
      <w:r>
        <w:rPr>
          <w:color w:val="000000" w:themeColor="text1"/>
          <w:lang w:val="en-US" w:eastAsia="ko-KR"/>
        </w:rPr>
        <w:t xml:space="preserve">Steps of </w:t>
      </w:r>
      <w:r>
        <w:rPr>
          <w:rFonts w:hint="eastAsia"/>
          <w:color w:val="000000" w:themeColor="text1"/>
          <w:lang w:val="en-US" w:eastAsia="ko-KR"/>
        </w:rPr>
        <w:t>Normal RACH pr</w:t>
      </w:r>
      <w:r>
        <w:rPr>
          <w:color w:val="000000" w:themeColor="text1"/>
          <w:lang w:val="en-US" w:eastAsia="ko-KR"/>
        </w:rPr>
        <w:t>o</w:t>
      </w:r>
      <w:r>
        <w:rPr>
          <w:rFonts w:hint="eastAsia"/>
          <w:color w:val="000000" w:themeColor="text1"/>
          <w:lang w:val="en-US" w:eastAsia="ko-KR"/>
        </w:rPr>
        <w:t>cedure</w:t>
      </w:r>
    </w:p>
    <w:p w:rsidR="008F23B5" w:rsidRDefault="008F23B5">
      <w:pPr>
        <w:widowControl/>
        <w:adjustRightInd/>
        <w:spacing w:line="259" w:lineRule="auto"/>
        <w:jc w:val="left"/>
        <w:textAlignment w:val="auto"/>
        <w:rPr>
          <w:color w:val="000000" w:themeColor="text1"/>
          <w:lang w:val="en-US" w:eastAsia="ko-KR"/>
        </w:rPr>
      </w:pPr>
    </w:p>
    <w:p w:rsidR="008F23B5" w:rsidRDefault="0035261E">
      <w:pPr>
        <w:widowControl/>
        <w:adjustRightInd/>
        <w:spacing w:line="259" w:lineRule="auto"/>
        <w:jc w:val="left"/>
        <w:textAlignment w:val="auto"/>
        <w:rPr>
          <w:color w:val="000000" w:themeColor="text1"/>
          <w:lang w:val="en-US" w:eastAsia="ko-KR"/>
        </w:rPr>
      </w:pPr>
      <w:r>
        <w:rPr>
          <w:color w:val="000000" w:themeColor="text1"/>
          <w:lang w:val="en-US" w:eastAsia="ko-KR"/>
        </w:rPr>
        <w:t>I</w:t>
      </w:r>
      <w:r>
        <w:rPr>
          <w:rFonts w:hint="eastAsia"/>
          <w:color w:val="000000" w:themeColor="text1"/>
          <w:lang w:val="en-US" w:eastAsia="ko-KR"/>
        </w:rPr>
        <w:t xml:space="preserve">n </w:t>
      </w:r>
      <w:r>
        <w:rPr>
          <w:color w:val="000000" w:themeColor="text1"/>
          <w:lang w:val="en-US" w:eastAsia="ko-KR"/>
        </w:rPr>
        <w:t xml:space="preserve">the discussion of RACH partitioning, RAN2 agreed that UL carrier selection is performed prior to RACH resource selection and feature combination is not considered. In other words, for RACH procedure, UL carrier selection is performed based on common RSRP threshold, i.e., </w:t>
      </w:r>
      <w:r>
        <w:rPr>
          <w:i/>
          <w:lang w:eastAsia="ko-KR"/>
        </w:rPr>
        <w:t>rsrp-ThresholdSSB-SUL</w:t>
      </w:r>
      <w:r>
        <w:rPr>
          <w:lang w:eastAsia="ko-KR"/>
        </w:rPr>
        <w:t>, regardless of feature combination. Thus, UL carrier selection in RA-SDT procedure is also performed based on common RSRP threshold.</w:t>
      </w:r>
    </w:p>
    <w:p w:rsidR="008F23B5" w:rsidRDefault="0035261E">
      <w:pPr>
        <w:widowControl/>
        <w:adjustRightInd/>
        <w:spacing w:line="259" w:lineRule="auto"/>
        <w:jc w:val="left"/>
        <w:textAlignment w:val="auto"/>
      </w:pPr>
      <w:r>
        <w:lastRenderedPageBreak/>
        <w:t>In addition, in e-mail discussion [2], there was a majority view that RA-type selection can happen based on the RACH parameters signalled in the selected RACH partition. Given that there is no BWP switching step in RA-SDT procedure, RA-SDT procedure can be depicted as follows.</w:t>
      </w:r>
    </w:p>
    <w:p w:rsidR="008F23B5" w:rsidRDefault="0035261E">
      <w:pPr>
        <w:widowControl/>
        <w:adjustRightInd/>
        <w:spacing w:line="259" w:lineRule="auto"/>
        <w:jc w:val="center"/>
        <w:textAlignment w:val="auto"/>
        <w:rPr>
          <w:color w:val="000000" w:themeColor="text1"/>
          <w:lang w:val="en-US" w:eastAsia="ko-KR"/>
        </w:rPr>
      </w:pPr>
      <w:r>
        <w:object w:dxaOrig="15011" w:dyaOrig="1591">
          <v:shape id="_x0000_i1026" type="#_x0000_t75" style="width:482pt;height:51.5pt" o:ole="">
            <v:imagedata r:id="rId11" o:title=""/>
          </v:shape>
          <o:OLEObject Type="Embed" ProgID="Visio.Drawing.15" ShapeID="_x0000_i1026" DrawAspect="Content" ObjectID="_1703422569" r:id="rId12"/>
        </w:object>
      </w:r>
    </w:p>
    <w:p w:rsidR="008F23B5" w:rsidRDefault="0035261E">
      <w:pPr>
        <w:widowControl/>
        <w:adjustRightInd/>
        <w:spacing w:line="259" w:lineRule="auto"/>
        <w:jc w:val="center"/>
        <w:textAlignment w:val="auto"/>
        <w:rPr>
          <w:color w:val="000000" w:themeColor="text1"/>
          <w:lang w:val="en-US" w:eastAsia="ko-KR"/>
        </w:rPr>
      </w:pPr>
      <w:r>
        <w:rPr>
          <w:rFonts w:hint="eastAsia"/>
          <w:color w:val="000000" w:themeColor="text1"/>
          <w:lang w:val="en-US" w:eastAsia="ko-KR"/>
        </w:rPr>
        <w:t xml:space="preserve">Figure 2. </w:t>
      </w:r>
      <w:r>
        <w:rPr>
          <w:color w:val="000000" w:themeColor="text1"/>
          <w:lang w:val="en-US" w:eastAsia="ko-KR"/>
        </w:rPr>
        <w:t>Steps of RA-SDT procedure</w:t>
      </w:r>
    </w:p>
    <w:p w:rsidR="008F23B5" w:rsidRDefault="008F23B5">
      <w:pPr>
        <w:widowControl/>
        <w:adjustRightInd/>
        <w:spacing w:line="259" w:lineRule="auto"/>
        <w:jc w:val="left"/>
        <w:textAlignment w:val="auto"/>
        <w:rPr>
          <w:color w:val="000000" w:themeColor="text1"/>
          <w:lang w:val="en-US" w:eastAsia="ko-KR"/>
        </w:rPr>
      </w:pPr>
    </w:p>
    <w:p w:rsidR="008F23B5" w:rsidRDefault="0035261E">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According to </w:t>
      </w:r>
      <w:r>
        <w:rPr>
          <w:color w:val="000000" w:themeColor="text1"/>
          <w:lang w:val="en-US" w:eastAsia="ko-KR"/>
        </w:rPr>
        <w:t>SDT triggering procedure specified in S5.x Small Data Transmission in [1], SDT triggering procedure is performed first and then CG-SDT/RA-SDT procedure is performed. Considering the above RA-SDT procedure, the whole SDT procedure can be represented as shown in Figure 3.</w:t>
      </w:r>
    </w:p>
    <w:p w:rsidR="008F23B5" w:rsidRDefault="0035261E">
      <w:pPr>
        <w:widowControl/>
        <w:adjustRightInd/>
        <w:spacing w:line="259" w:lineRule="auto"/>
        <w:jc w:val="center"/>
        <w:textAlignment w:val="auto"/>
        <w:rPr>
          <w:color w:val="000000" w:themeColor="text1"/>
          <w:lang w:val="en-US" w:eastAsia="ko-KR"/>
        </w:rPr>
      </w:pPr>
      <w:r>
        <w:object w:dxaOrig="16860" w:dyaOrig="4901">
          <v:shape id="_x0000_i1027" type="#_x0000_t75" style="width:481.5pt;height:140pt" o:ole="">
            <v:imagedata r:id="rId13" o:title=""/>
          </v:shape>
          <o:OLEObject Type="Embed" ProgID="Visio.Drawing.15" ShapeID="_x0000_i1027" DrawAspect="Content" ObjectID="_1703422570" r:id="rId14"/>
        </w:object>
      </w:r>
    </w:p>
    <w:p w:rsidR="008F23B5" w:rsidRDefault="0035261E">
      <w:pPr>
        <w:widowControl/>
        <w:adjustRightInd/>
        <w:spacing w:line="259" w:lineRule="auto"/>
        <w:jc w:val="center"/>
        <w:textAlignment w:val="auto"/>
        <w:rPr>
          <w:color w:val="000000" w:themeColor="text1"/>
          <w:lang w:val="en-US" w:eastAsia="ko-KR"/>
        </w:rPr>
      </w:pPr>
      <w:r>
        <w:rPr>
          <w:rFonts w:hint="eastAsia"/>
          <w:color w:val="000000" w:themeColor="text1"/>
          <w:lang w:val="en-US" w:eastAsia="ko-KR"/>
        </w:rPr>
        <w:t xml:space="preserve">Figure 3. </w:t>
      </w:r>
      <w:r>
        <w:rPr>
          <w:color w:val="000000" w:themeColor="text1"/>
          <w:lang w:val="en-US" w:eastAsia="ko-KR"/>
        </w:rPr>
        <w:t>Steps of SDT procedure</w:t>
      </w:r>
    </w:p>
    <w:p w:rsidR="008F23B5" w:rsidRDefault="008F23B5">
      <w:pPr>
        <w:widowControl/>
        <w:adjustRightInd/>
        <w:spacing w:line="259" w:lineRule="auto"/>
        <w:jc w:val="left"/>
        <w:textAlignment w:val="auto"/>
        <w:rPr>
          <w:color w:val="000000" w:themeColor="text1"/>
          <w:lang w:val="en-US" w:eastAsia="ko-KR"/>
        </w:rPr>
      </w:pPr>
    </w:p>
    <w:p w:rsidR="008F23B5" w:rsidRDefault="0035261E">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One may think that </w:t>
      </w:r>
      <w:r>
        <w:rPr>
          <w:color w:val="000000" w:themeColor="text1"/>
          <w:lang w:val="en-US" w:eastAsia="ko-KR"/>
        </w:rPr>
        <w:t xml:space="preserve">performing UL carrier selection twice is redundant, and it would be better to remove one of them. </w:t>
      </w:r>
      <w:r>
        <w:rPr>
          <w:rFonts w:hint="eastAsia"/>
          <w:color w:val="000000" w:themeColor="text1"/>
          <w:lang w:val="en-US" w:eastAsia="ko-KR"/>
        </w:rPr>
        <w:t xml:space="preserve">However, </w:t>
      </w:r>
      <w:r>
        <w:rPr>
          <w:color w:val="000000" w:themeColor="text1"/>
          <w:lang w:val="en-US" w:eastAsia="ko-KR"/>
        </w:rPr>
        <w:t xml:space="preserve">we think both 1st UL carrier selection and 2nd UL carrier selection are needed with following reasons. </w:t>
      </w:r>
    </w:p>
    <w:p w:rsidR="008F23B5" w:rsidRDefault="0035261E">
      <w:pPr>
        <w:widowControl/>
        <w:adjustRightInd/>
        <w:spacing w:line="259" w:lineRule="auto"/>
        <w:jc w:val="left"/>
        <w:textAlignment w:val="auto"/>
        <w:rPr>
          <w:lang w:eastAsia="ko-KR"/>
        </w:rPr>
      </w:pPr>
      <w:r>
        <w:rPr>
          <w:lang w:eastAsia="ko-KR"/>
        </w:rPr>
        <w:t xml:space="preserve">If only the 1st UL carrier selection is performed, the RACH procedure for SDT becomes different from the common RACH procedure, i.e. UL carrier selection step is skipped for SDT. It is possible to change the SDT procedure specific to SDT, but, if it is allowed, other features may also request change of RACH procedure specific to that feature. We think it makes the RACH procedure very much complicated, and want to avoid such situation. </w:t>
      </w:r>
    </w:p>
    <w:p w:rsidR="008F23B5" w:rsidRDefault="0035261E">
      <w:pPr>
        <w:widowControl/>
        <w:adjustRightInd/>
        <w:spacing w:line="259" w:lineRule="auto"/>
        <w:jc w:val="left"/>
        <w:textAlignment w:val="auto"/>
        <w:rPr>
          <w:lang w:eastAsia="ko-KR"/>
        </w:rPr>
      </w:pPr>
      <w:r>
        <w:rPr>
          <w:lang w:eastAsia="ko-KR"/>
        </w:rPr>
        <w:t>In addition, it does not make sense that only the 2nd UL carrier selection is performed. Whether to perform CG-SDT or RA-SDT (green highlighted step in Figure 3) is determined by whether the resource is configured on the selected UL carrier or not, and if the 1st UL carrier selection is not performed, the UE cannot check the SDT resource configuration because there is no selected UL carrier. Thus, we think the 1st UL carrier selection is also needed.</w:t>
      </w:r>
    </w:p>
    <w:p w:rsidR="008F23B5" w:rsidRDefault="0035261E">
      <w:pPr>
        <w:widowControl/>
        <w:adjustRightInd/>
        <w:spacing w:line="259" w:lineRule="auto"/>
        <w:jc w:val="left"/>
        <w:textAlignment w:val="auto"/>
        <w:rPr>
          <w:lang w:eastAsia="ko-KR"/>
        </w:rPr>
      </w:pPr>
      <w:r>
        <w:rPr>
          <w:b/>
          <w:color w:val="000000" w:themeColor="text1"/>
          <w:lang w:val="en-US" w:eastAsia="ko-KR"/>
        </w:rPr>
        <w:t>Proposal 1. UL carrier selection should be performed in both SDT triggering procedure and RA-SDT procedure.</w:t>
      </w:r>
    </w:p>
    <w:p w:rsidR="008F23B5" w:rsidRDefault="008F23B5">
      <w:pPr>
        <w:widowControl/>
        <w:adjustRightInd/>
        <w:spacing w:line="259" w:lineRule="auto"/>
        <w:jc w:val="left"/>
        <w:textAlignment w:val="auto"/>
        <w:rPr>
          <w:color w:val="000000" w:themeColor="text1"/>
          <w:lang w:val="en-US" w:eastAsia="ko-KR"/>
        </w:rPr>
      </w:pPr>
    </w:p>
    <w:p w:rsidR="008F23B5" w:rsidRDefault="0035261E">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However, </w:t>
      </w:r>
      <w:r>
        <w:rPr>
          <w:color w:val="000000" w:themeColor="text1"/>
          <w:lang w:val="en-US" w:eastAsia="ko-KR"/>
        </w:rPr>
        <w:t xml:space="preserve">we think </w:t>
      </w:r>
      <w:r>
        <w:rPr>
          <w:rFonts w:hint="eastAsia"/>
          <w:color w:val="000000" w:themeColor="text1"/>
          <w:lang w:val="en-US" w:eastAsia="ko-KR"/>
        </w:rPr>
        <w:t xml:space="preserve">there is a problem in </w:t>
      </w:r>
      <w:r>
        <w:rPr>
          <w:color w:val="000000" w:themeColor="text1"/>
          <w:lang w:val="en-US" w:eastAsia="ko-KR"/>
        </w:rPr>
        <w:t xml:space="preserve">the SDT procedure described in Figure 3. </w:t>
      </w:r>
    </w:p>
    <w:p w:rsidR="008F23B5" w:rsidRDefault="0035261E">
      <w:pPr>
        <w:widowControl/>
        <w:adjustRightInd/>
        <w:spacing w:line="259" w:lineRule="auto"/>
        <w:jc w:val="left"/>
        <w:textAlignment w:val="auto"/>
        <w:rPr>
          <w:color w:val="000000" w:themeColor="text1"/>
          <w:lang w:val="en-US" w:eastAsia="ko-KR"/>
        </w:rPr>
      </w:pPr>
      <w:r>
        <w:rPr>
          <w:color w:val="000000" w:themeColor="text1"/>
          <w:lang w:val="en-US" w:eastAsia="ko-KR"/>
        </w:rPr>
        <w:t xml:space="preserve">In the 1st </w:t>
      </w:r>
      <w:r>
        <w:rPr>
          <w:lang w:eastAsia="ko-KR"/>
        </w:rPr>
        <w:t>UL carrier selection</w:t>
      </w:r>
      <w:r>
        <w:rPr>
          <w:color w:val="000000" w:themeColor="text1"/>
          <w:lang w:val="en-US" w:eastAsia="ko-KR"/>
        </w:rPr>
        <w:t xml:space="preserve">, NUL/SUL is selected based on SDT specific RSRP threshold, i.e., </w:t>
      </w:r>
      <w:r>
        <w:rPr>
          <w:i/>
          <w:color w:val="000000" w:themeColor="text1"/>
          <w:lang w:val="en-US" w:eastAsia="ko-KR"/>
        </w:rPr>
        <w:t>sdt-RSRP-ThresholdSSB-SUL</w:t>
      </w:r>
      <w:r>
        <w:rPr>
          <w:color w:val="000000" w:themeColor="text1"/>
          <w:lang w:val="en-US" w:eastAsia="ko-KR"/>
        </w:rPr>
        <w:t xml:space="preserve">, but in the </w:t>
      </w:r>
      <w:r>
        <w:rPr>
          <w:lang w:eastAsia="ko-KR"/>
        </w:rPr>
        <w:t>2nd UL carrier selection</w:t>
      </w:r>
      <w:r>
        <w:rPr>
          <w:color w:val="000000" w:themeColor="text1"/>
          <w:lang w:val="en-US" w:eastAsia="ko-KR"/>
        </w:rPr>
        <w:t xml:space="preserve">, NUL/SUL is selected based on common RSRP threshold, i.e., </w:t>
      </w:r>
      <w:r>
        <w:rPr>
          <w:i/>
          <w:lang w:eastAsia="ko-KR"/>
        </w:rPr>
        <w:t>rsrp-ThresholdSSB-SUL</w:t>
      </w:r>
      <w:r>
        <w:rPr>
          <w:lang w:eastAsia="ko-KR"/>
        </w:rPr>
        <w:t xml:space="preserve">. Thus, there may be a case that the UE selects a different UL carrier for the 1st UL carrier selection and the 2nd UL carrier selection, and there may be no RA-SDT resource in the UL carrier selected in the 2nd UL carrier selection. </w:t>
      </w:r>
      <w:r>
        <w:rPr>
          <w:color w:val="000000" w:themeColor="text1"/>
          <w:lang w:val="en-US" w:eastAsia="ko-KR"/>
        </w:rPr>
        <w:t>In this case, the data cannot be transmitted via RA-SDT, and the UE needs to initiate legacy RA procedure to transition to RRC_CONNECTED. That is, even though the UE confirms the data transmission in RRC_INACTIVE, RRC state transition is required and this leads to a delay on the data transmission.</w:t>
      </w:r>
    </w:p>
    <w:p w:rsidR="008F23B5" w:rsidRDefault="0035261E">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lastRenderedPageBreak/>
        <w:t xml:space="preserve">In order to resolve this issue, </w:t>
      </w:r>
      <w:r>
        <w:rPr>
          <w:color w:val="000000" w:themeColor="text1"/>
          <w:lang w:val="en-US" w:eastAsia="ko-KR"/>
        </w:rPr>
        <w:t xml:space="preserve">we think the UL carrier selected in the 1st UL carrier selection and the 2nd UL carrier selection should be the same. The simplest way to ensure the same UL carrier is to use the same RSRP threshold in both the 1st UL carrier selection and the 2nd UL carrier selection. Since RAN2 agreed not to consider the feature combination in UL carrier selection in the discussion of RACH partitioning, the RSRP threshold should be the common RSRP threshold, not the SDT specific RSRP threshold. </w:t>
      </w:r>
    </w:p>
    <w:p w:rsidR="008F23B5" w:rsidRDefault="0035261E">
      <w:pPr>
        <w:widowControl/>
        <w:adjustRightInd/>
        <w:spacing w:line="259" w:lineRule="auto"/>
        <w:jc w:val="left"/>
        <w:textAlignment w:val="auto"/>
        <w:rPr>
          <w:b/>
          <w:color w:val="000000" w:themeColor="text1"/>
          <w:lang w:val="en-US" w:eastAsia="ko-KR"/>
        </w:rPr>
      </w:pPr>
      <w:r>
        <w:rPr>
          <w:b/>
          <w:color w:val="000000" w:themeColor="text1"/>
          <w:lang w:val="en-US" w:eastAsia="ko-KR"/>
        </w:rPr>
        <w:t>Proposal 2. Common RSRP threshold should be used for UL carrier selection in both SDT triggering procedure and RA-SDT procedure.</w:t>
      </w:r>
    </w:p>
    <w:p w:rsidR="008F23B5" w:rsidRDefault="008F23B5">
      <w:pPr>
        <w:widowControl/>
        <w:adjustRightInd/>
        <w:spacing w:line="259" w:lineRule="auto"/>
        <w:jc w:val="left"/>
        <w:textAlignment w:val="auto"/>
        <w:rPr>
          <w:color w:val="000000" w:themeColor="text1"/>
          <w:lang w:val="en-US" w:eastAsia="ko-KR"/>
        </w:rPr>
      </w:pPr>
    </w:p>
    <w:p w:rsidR="008F23B5" w:rsidRDefault="0035261E">
      <w:pPr>
        <w:widowControl/>
        <w:adjustRightInd/>
        <w:spacing w:line="259" w:lineRule="auto"/>
        <w:jc w:val="left"/>
        <w:textAlignment w:val="auto"/>
        <w:rPr>
          <w:rFonts w:ascii="Arial" w:eastAsia="MS Mincho" w:hAnsi="Arial"/>
          <w:szCs w:val="24"/>
          <w:lang w:val="en-US" w:eastAsia="en-GB"/>
        </w:rPr>
      </w:pPr>
      <w:r>
        <w:rPr>
          <w:rFonts w:hint="eastAsia"/>
          <w:color w:val="000000" w:themeColor="text1"/>
          <w:lang w:val="en-US" w:eastAsia="ko-KR"/>
        </w:rPr>
        <w:t>In RAN2#113bis-e, RAN2 agreed to use SDT specific RSRP threshold as follows.</w:t>
      </w:r>
    </w:p>
    <w:tbl>
      <w:tblPr>
        <w:tblStyle w:val="41"/>
        <w:tblW w:w="9270" w:type="dxa"/>
        <w:tblInd w:w="1075" w:type="dxa"/>
        <w:tblLook w:val="04A0" w:firstRow="1" w:lastRow="0" w:firstColumn="1" w:lastColumn="0" w:noHBand="0" w:noVBand="1"/>
      </w:tblPr>
      <w:tblGrid>
        <w:gridCol w:w="9270"/>
      </w:tblGrid>
      <w:tr w:rsidR="008F23B5">
        <w:tc>
          <w:tcPr>
            <w:tcW w:w="9270" w:type="dxa"/>
          </w:tcPr>
          <w:p w:rsidR="008F23B5" w:rsidRDefault="0035261E">
            <w:pPr>
              <w:widowControl/>
              <w:tabs>
                <w:tab w:val="left" w:pos="526"/>
              </w:tabs>
              <w:adjustRightInd/>
              <w:spacing w:after="0" w:line="240" w:lineRule="auto"/>
              <w:ind w:left="1176" w:hanging="376"/>
              <w:jc w:val="left"/>
              <w:textAlignment w:val="auto"/>
              <w:rPr>
                <w:rFonts w:ascii="Arial" w:eastAsia="MS Mincho" w:hAnsi="Arial"/>
                <w:b/>
                <w:bCs/>
                <w:szCs w:val="24"/>
                <w:lang w:val="en-US" w:eastAsia="en-GB"/>
              </w:rPr>
            </w:pPr>
            <w:r>
              <w:rPr>
                <w:rFonts w:ascii="Arial" w:eastAsia="MS Mincho" w:hAnsi="Arial"/>
                <w:b/>
                <w:bCs/>
                <w:szCs w:val="24"/>
                <w:lang w:val="en-US" w:eastAsia="en-GB"/>
              </w:rPr>
              <w:t>Agreements:</w:t>
            </w:r>
          </w:p>
          <w:p w:rsidR="008F23B5" w:rsidRDefault="0035261E">
            <w:pPr>
              <w:widowControl/>
              <w:numPr>
                <w:ilvl w:val="0"/>
                <w:numId w:val="18"/>
              </w:numPr>
              <w:tabs>
                <w:tab w:val="left" w:pos="526"/>
              </w:tabs>
              <w:wordWrap w:val="0"/>
              <w:autoSpaceDE w:val="0"/>
              <w:autoSpaceDN w:val="0"/>
              <w:adjustRightInd/>
              <w:spacing w:after="0" w:line="240" w:lineRule="auto"/>
              <w:jc w:val="left"/>
              <w:textAlignment w:val="auto"/>
              <w:rPr>
                <w:rFonts w:ascii="Arial" w:eastAsia="MS Mincho" w:hAnsi="Arial"/>
                <w:szCs w:val="24"/>
                <w:lang w:val="en-US" w:eastAsia="en-GB"/>
              </w:rPr>
            </w:pPr>
            <w:r>
              <w:rPr>
                <w:rFonts w:ascii="Arial" w:eastAsia="MS Mincho" w:hAnsi="Arial"/>
                <w:szCs w:val="24"/>
                <w:lang w:val="en-US" w:eastAsia="en-GB"/>
              </w:rPr>
              <w:t xml:space="preserve">RSRP threshold for carrier selection is specific to SDT (i.e. separately configured for SDT).  This is optional for the network.  </w:t>
            </w:r>
          </w:p>
          <w:p w:rsidR="008F23B5" w:rsidRDefault="008F23B5">
            <w:pPr>
              <w:widowControl/>
              <w:tabs>
                <w:tab w:val="left" w:pos="526"/>
              </w:tabs>
              <w:adjustRightInd/>
              <w:spacing w:after="0" w:line="240" w:lineRule="auto"/>
              <w:ind w:left="1176" w:hanging="376"/>
              <w:jc w:val="left"/>
              <w:textAlignment w:val="auto"/>
              <w:rPr>
                <w:rFonts w:ascii="Arial" w:eastAsia="MS Mincho" w:hAnsi="Arial"/>
                <w:szCs w:val="24"/>
                <w:lang w:val="en-US" w:eastAsia="en-GB"/>
              </w:rPr>
            </w:pPr>
          </w:p>
        </w:tc>
      </w:tr>
    </w:tbl>
    <w:p w:rsidR="008F23B5" w:rsidRDefault="008F23B5">
      <w:pPr>
        <w:widowControl/>
        <w:tabs>
          <w:tab w:val="left" w:pos="1622"/>
        </w:tabs>
        <w:adjustRightInd/>
        <w:spacing w:after="0" w:line="240" w:lineRule="auto"/>
        <w:ind w:left="1622" w:hanging="363"/>
        <w:jc w:val="left"/>
        <w:textAlignment w:val="auto"/>
        <w:rPr>
          <w:rFonts w:ascii="Arial" w:eastAsia="MS Mincho" w:hAnsi="Arial"/>
          <w:szCs w:val="24"/>
          <w:lang w:val="en-US" w:eastAsia="en-GB"/>
        </w:rPr>
      </w:pPr>
    </w:p>
    <w:p w:rsidR="008F23B5" w:rsidRDefault="0035261E">
      <w:pPr>
        <w:widowControl/>
        <w:adjustRightInd/>
        <w:spacing w:line="259" w:lineRule="auto"/>
        <w:jc w:val="left"/>
        <w:textAlignment w:val="auto"/>
        <w:rPr>
          <w:color w:val="000000" w:themeColor="text1"/>
          <w:lang w:val="en-US" w:eastAsia="ko-KR"/>
        </w:rPr>
      </w:pPr>
      <w:r>
        <w:rPr>
          <w:color w:val="000000" w:themeColor="text1"/>
          <w:lang w:val="en-US" w:eastAsia="ko-KR"/>
        </w:rPr>
        <w:t>It</w:t>
      </w:r>
      <w:r>
        <w:rPr>
          <w:rFonts w:hint="eastAsia"/>
          <w:color w:val="000000" w:themeColor="text1"/>
          <w:lang w:val="en-US" w:eastAsia="ko-KR"/>
        </w:rPr>
        <w:t xml:space="preserve"> </w:t>
      </w:r>
      <w:r>
        <w:rPr>
          <w:color w:val="000000" w:themeColor="text1"/>
          <w:lang w:val="en-US" w:eastAsia="ko-KR"/>
        </w:rPr>
        <w:t xml:space="preserve">may be argued that this issue can be handled by the network configuration. However, in order to ensure that the UL carrier by 1st and 2nd UL carrier selection is always same, SDT specific RSRP should not be used. </w:t>
      </w:r>
    </w:p>
    <w:p w:rsidR="008F23B5" w:rsidRDefault="0035261E">
      <w:pPr>
        <w:widowControl/>
        <w:adjustRightInd/>
        <w:spacing w:line="259" w:lineRule="auto"/>
        <w:jc w:val="left"/>
        <w:textAlignment w:val="auto"/>
        <w:rPr>
          <w:color w:val="000000" w:themeColor="text1"/>
          <w:lang w:val="en-US" w:eastAsia="ko-KR"/>
        </w:rPr>
      </w:pPr>
      <w:r>
        <w:rPr>
          <w:color w:val="000000" w:themeColor="text1"/>
          <w:lang w:val="en-US" w:eastAsia="ko-KR"/>
        </w:rPr>
        <w:t>Therefore, we propose to revert the following RAN2 agreement in RAN2#113bis-e.</w:t>
      </w:r>
    </w:p>
    <w:p w:rsidR="008F23B5" w:rsidRDefault="0035261E">
      <w:pPr>
        <w:pStyle w:val="ac"/>
        <w:widowControl/>
        <w:numPr>
          <w:ilvl w:val="0"/>
          <w:numId w:val="43"/>
        </w:numPr>
        <w:adjustRightInd/>
        <w:spacing w:line="259" w:lineRule="auto"/>
        <w:ind w:leftChars="0"/>
        <w:jc w:val="left"/>
        <w:textAlignment w:val="auto"/>
        <w:rPr>
          <w:color w:val="000000" w:themeColor="text1"/>
          <w:lang w:val="en-US" w:eastAsia="ko-KR"/>
        </w:rPr>
      </w:pPr>
      <w:r>
        <w:rPr>
          <w:color w:val="000000" w:themeColor="text1"/>
          <w:lang w:val="en-US" w:eastAsia="ko-KR"/>
        </w:rPr>
        <w:t>RSRP threshold for carrier selection is specific to SDT (i.e. separately configured for SDT).</w:t>
      </w:r>
    </w:p>
    <w:p w:rsidR="008F23B5" w:rsidRDefault="008F23B5">
      <w:pPr>
        <w:widowControl/>
        <w:adjustRightInd/>
        <w:spacing w:line="259" w:lineRule="auto"/>
        <w:jc w:val="left"/>
        <w:textAlignment w:val="auto"/>
        <w:rPr>
          <w:color w:val="000000" w:themeColor="text1"/>
          <w:lang w:val="en-US" w:eastAsia="ko-KR"/>
        </w:rPr>
      </w:pPr>
    </w:p>
    <w:p w:rsidR="008F23B5" w:rsidRDefault="0035261E" w:rsidP="003B62EF">
      <w:pPr>
        <w:widowControl/>
        <w:adjustRightInd/>
        <w:spacing w:line="259" w:lineRule="auto"/>
        <w:jc w:val="left"/>
        <w:textAlignment w:val="auto"/>
        <w:rPr>
          <w:b/>
          <w:color w:val="000000" w:themeColor="text1"/>
          <w:lang w:val="en-US" w:eastAsia="ko-KR"/>
        </w:rPr>
      </w:pPr>
      <w:r>
        <w:rPr>
          <w:b/>
          <w:color w:val="000000" w:themeColor="text1"/>
          <w:lang w:val="en-US" w:eastAsia="ko-KR"/>
        </w:rPr>
        <w:t>Proposal 3. RAN2 reverts the RAN2#113bis-e agreement “RSRP threshold for carrier selection is specific to SDT (i.e. separately configured for SDT)”, and agrees to use common RSRP threshold for carrier selection in SDT procedure.</w:t>
      </w:r>
    </w:p>
    <w:p w:rsidR="008F23B5" w:rsidRDefault="008F23B5">
      <w:pPr>
        <w:widowControl/>
        <w:adjustRightInd/>
        <w:spacing w:line="259" w:lineRule="auto"/>
        <w:jc w:val="left"/>
        <w:textAlignment w:val="auto"/>
        <w:rPr>
          <w:color w:val="000000" w:themeColor="text1"/>
          <w:lang w:val="en-US" w:eastAsia="ko-KR"/>
        </w:rPr>
      </w:pPr>
    </w:p>
    <w:p w:rsidR="008F23B5" w:rsidRDefault="0035261E">
      <w:pPr>
        <w:pStyle w:val="1"/>
        <w:rPr>
          <w:color w:val="000000" w:themeColor="text1"/>
          <w:lang w:val="en-US"/>
        </w:rPr>
      </w:pPr>
      <w:r>
        <w:rPr>
          <w:color w:val="000000" w:themeColor="text1"/>
          <w:lang w:val="en-US"/>
        </w:rPr>
        <w:t>3.</w:t>
      </w:r>
      <w:r>
        <w:rPr>
          <w:color w:val="000000" w:themeColor="text1"/>
          <w:lang w:val="en-US"/>
        </w:rPr>
        <w:tab/>
        <w:t>Conclusion</w:t>
      </w:r>
    </w:p>
    <w:p w:rsidR="008F23B5" w:rsidRDefault="0035261E">
      <w:pPr>
        <w:widowControl/>
        <w:adjustRightInd/>
        <w:spacing w:line="259" w:lineRule="auto"/>
        <w:jc w:val="left"/>
        <w:textAlignment w:val="auto"/>
        <w:rPr>
          <w:color w:val="000000" w:themeColor="text1"/>
          <w:lang w:val="en-US" w:eastAsia="ko-KR"/>
        </w:rPr>
      </w:pPr>
      <w:r>
        <w:rPr>
          <w:color w:val="000000" w:themeColor="text1"/>
          <w:lang w:val="en-US" w:eastAsia="ko-KR"/>
        </w:rPr>
        <w:t>In this document, we discuss SDT specific RSRP threshold for UL carrier selection, and made following proposals.</w:t>
      </w:r>
    </w:p>
    <w:p w:rsidR="003B62EF" w:rsidRDefault="003B62EF" w:rsidP="003B62EF">
      <w:pPr>
        <w:widowControl/>
        <w:adjustRightInd/>
        <w:spacing w:line="259" w:lineRule="auto"/>
        <w:jc w:val="left"/>
        <w:textAlignment w:val="auto"/>
        <w:rPr>
          <w:lang w:eastAsia="ko-KR"/>
        </w:rPr>
      </w:pPr>
      <w:r>
        <w:rPr>
          <w:b/>
          <w:color w:val="000000" w:themeColor="text1"/>
          <w:lang w:val="en-US" w:eastAsia="ko-KR"/>
        </w:rPr>
        <w:t>Proposal 1. UL carrier selection should be performed in both SDT triggering procedure and RA-SDT procedure.</w:t>
      </w:r>
    </w:p>
    <w:p w:rsidR="003B62EF" w:rsidRDefault="003B62EF" w:rsidP="003B62EF">
      <w:pPr>
        <w:widowControl/>
        <w:adjustRightInd/>
        <w:spacing w:line="259" w:lineRule="auto"/>
        <w:jc w:val="left"/>
        <w:textAlignment w:val="auto"/>
        <w:rPr>
          <w:b/>
          <w:color w:val="000000" w:themeColor="text1"/>
          <w:lang w:val="en-US" w:eastAsia="ko-KR"/>
        </w:rPr>
      </w:pPr>
      <w:r>
        <w:rPr>
          <w:b/>
          <w:color w:val="000000" w:themeColor="text1"/>
          <w:lang w:val="en-US" w:eastAsia="ko-KR"/>
        </w:rPr>
        <w:t>Proposal 2. Common RSRP threshold should be used for UL carrier selection in both SDT triggering procedure and RA-SDT procedure.</w:t>
      </w:r>
    </w:p>
    <w:p w:rsidR="003B62EF" w:rsidRDefault="003B62EF" w:rsidP="003B62EF">
      <w:pPr>
        <w:widowControl/>
        <w:adjustRightInd/>
        <w:spacing w:line="259" w:lineRule="auto"/>
        <w:jc w:val="left"/>
        <w:textAlignment w:val="auto"/>
        <w:rPr>
          <w:b/>
          <w:color w:val="000000" w:themeColor="text1"/>
          <w:lang w:val="en-US" w:eastAsia="ko-KR"/>
        </w:rPr>
      </w:pPr>
      <w:r>
        <w:rPr>
          <w:b/>
          <w:color w:val="000000" w:themeColor="text1"/>
          <w:lang w:val="en-US" w:eastAsia="ko-KR"/>
        </w:rPr>
        <w:t>Proposal 3. RAN2 reverts the RAN2#113bis-e agreement “RSRP threshold for carrier selection is specific to SDT (i.e. separately configured for SDT)”, and agrees to use common RSRP threshold for carrier selection in SDT procedure.</w:t>
      </w:r>
    </w:p>
    <w:p w:rsidR="008F23B5" w:rsidRDefault="008F23B5">
      <w:pPr>
        <w:widowControl/>
        <w:adjustRightInd/>
        <w:spacing w:line="259" w:lineRule="auto"/>
        <w:jc w:val="left"/>
        <w:textAlignment w:val="auto"/>
        <w:rPr>
          <w:color w:val="000000" w:themeColor="text1"/>
          <w:lang w:val="en-US" w:eastAsia="ko-KR"/>
        </w:rPr>
      </w:pPr>
    </w:p>
    <w:p w:rsidR="008F23B5" w:rsidRDefault="0035261E">
      <w:pPr>
        <w:pStyle w:val="1"/>
        <w:rPr>
          <w:rFonts w:cs="Arial"/>
          <w:color w:val="000000" w:themeColor="text1"/>
        </w:rPr>
      </w:pPr>
      <w:r>
        <w:rPr>
          <w:color w:val="000000" w:themeColor="text1"/>
          <w:lang w:val="en-US"/>
        </w:rPr>
        <w:t>4.</w:t>
      </w:r>
      <w:r>
        <w:rPr>
          <w:color w:val="000000" w:themeColor="text1"/>
          <w:lang w:val="en-US"/>
        </w:rPr>
        <w:tab/>
        <w:t>Reference</w:t>
      </w:r>
    </w:p>
    <w:p w:rsidR="008F23B5" w:rsidRDefault="0035261E">
      <w:pPr>
        <w:numPr>
          <w:ilvl w:val="0"/>
          <w:numId w:val="9"/>
        </w:numPr>
        <w:spacing w:after="0" w:line="240" w:lineRule="auto"/>
        <w:rPr>
          <w:color w:val="000000" w:themeColor="text1"/>
          <w:lang w:val="en-US" w:eastAsia="ko-KR"/>
        </w:rPr>
      </w:pPr>
      <w:r>
        <w:rPr>
          <w:color w:val="000000" w:themeColor="text1"/>
          <w:lang w:val="en-US" w:eastAsia="ko-KR"/>
        </w:rPr>
        <w:t>R2-2200031</w:t>
      </w:r>
      <w:r>
        <w:rPr>
          <w:color w:val="000000" w:themeColor="text1"/>
          <w:lang w:val="en-US" w:eastAsia="ko-KR"/>
        </w:rPr>
        <w:tab/>
        <w:t>Running MAC CR for small data</w:t>
      </w:r>
    </w:p>
    <w:p w:rsidR="008F23B5" w:rsidRDefault="0035261E">
      <w:pPr>
        <w:numPr>
          <w:ilvl w:val="0"/>
          <w:numId w:val="9"/>
        </w:numPr>
        <w:spacing w:after="0" w:line="240" w:lineRule="auto"/>
        <w:rPr>
          <w:color w:val="000000" w:themeColor="text1"/>
          <w:lang w:val="en-US" w:eastAsia="ko-KR"/>
        </w:rPr>
      </w:pPr>
      <w:r>
        <w:rPr>
          <w:color w:val="000000" w:themeColor="text1"/>
          <w:lang w:val="en-US" w:eastAsia="ko-KR"/>
        </w:rPr>
        <w:t>R2-2200049</w:t>
      </w:r>
      <w:r>
        <w:rPr>
          <w:color w:val="000000" w:themeColor="text1"/>
          <w:lang w:val="en-US" w:eastAsia="ko-KR"/>
        </w:rPr>
        <w:tab/>
        <w:t>[Post116-e][515][RACH partitioning] MAC Procedure aspects (ZTE)</w:t>
      </w:r>
    </w:p>
    <w:p w:rsidR="008F23B5" w:rsidRDefault="008F23B5">
      <w:pPr>
        <w:spacing w:after="0" w:line="240" w:lineRule="auto"/>
        <w:ind w:left="360"/>
        <w:rPr>
          <w:color w:val="000000" w:themeColor="text1"/>
          <w:lang w:val="en-US" w:eastAsia="ko-KR"/>
        </w:rPr>
      </w:pPr>
    </w:p>
    <w:sectPr w:rsidR="008F23B5">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C8B" w:rsidRDefault="005F2C8B">
      <w:pPr>
        <w:spacing w:after="0" w:line="240" w:lineRule="auto"/>
      </w:pPr>
      <w:r>
        <w:separator/>
      </w:r>
    </w:p>
  </w:endnote>
  <w:endnote w:type="continuationSeparator" w:id="0">
    <w:p w:rsidR="005F2C8B" w:rsidRDefault="005F2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3B5" w:rsidRDefault="0035261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F23B5" w:rsidRDefault="008F23B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3B5" w:rsidRDefault="0035261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12BA7">
      <w:rPr>
        <w:rStyle w:val="a9"/>
        <w:noProof/>
      </w:rPr>
      <w:t>3</w:t>
    </w:r>
    <w:r>
      <w:rPr>
        <w:rStyle w:val="a9"/>
      </w:rPr>
      <w:fldChar w:fldCharType="end"/>
    </w:r>
  </w:p>
  <w:p w:rsidR="008F23B5" w:rsidRDefault="008F23B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C8B" w:rsidRDefault="005F2C8B">
      <w:pPr>
        <w:spacing w:after="0" w:line="240" w:lineRule="auto"/>
      </w:pPr>
      <w:r>
        <w:separator/>
      </w:r>
    </w:p>
  </w:footnote>
  <w:footnote w:type="continuationSeparator" w:id="0">
    <w:p w:rsidR="005F2C8B" w:rsidRDefault="005F2C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5">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DC4121A"/>
    <w:multiLevelType w:val="hybridMultilevel"/>
    <w:tmpl w:val="E13A0A34"/>
    <w:lvl w:ilvl="0" w:tplc="F222CCDE">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E2A6301"/>
    <w:multiLevelType w:val="hybridMultilevel"/>
    <w:tmpl w:val="E0860154"/>
    <w:lvl w:ilvl="0" w:tplc="F69C6A6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FD23E1"/>
    <w:multiLevelType w:val="hybridMultilevel"/>
    <w:tmpl w:val="37BA35AC"/>
    <w:lvl w:ilvl="0" w:tplc="59FEF76A">
      <w:start w:val="6"/>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331425"/>
    <w:multiLevelType w:val="hybridMultilevel"/>
    <w:tmpl w:val="1820EC42"/>
    <w:lvl w:ilvl="0" w:tplc="36EECCE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8">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5810353"/>
    <w:multiLevelType w:val="hybridMultilevel"/>
    <w:tmpl w:val="6C268D54"/>
    <w:lvl w:ilvl="0" w:tplc="870C7E16">
      <w:start w:val="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66661430"/>
    <w:multiLevelType w:val="hybridMultilevel"/>
    <w:tmpl w:val="5190512C"/>
    <w:lvl w:ilvl="0" w:tplc="D19284E6">
      <w:start w:val="1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72710A4"/>
    <w:multiLevelType w:val="hybridMultilevel"/>
    <w:tmpl w:val="19DA0F00"/>
    <w:lvl w:ilvl="0" w:tplc="976A338C">
      <w:start w:val="1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8C05758"/>
    <w:multiLevelType w:val="hybridMultilevel"/>
    <w:tmpl w:val="166EF474"/>
    <w:lvl w:ilvl="0" w:tplc="C23888F2">
      <w:start w:val="6"/>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6">
    <w:nsid w:val="6CFA04E2"/>
    <w:multiLevelType w:val="hybridMultilevel"/>
    <w:tmpl w:val="1424E86E"/>
    <w:lvl w:ilvl="0" w:tplc="2346B74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41">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8"/>
  </w:num>
  <w:num w:numId="2">
    <w:abstractNumId w:val="27"/>
  </w:num>
  <w:num w:numId="3">
    <w:abstractNumId w:val="11"/>
  </w:num>
  <w:num w:numId="4">
    <w:abstractNumId w:val="14"/>
  </w:num>
  <w:num w:numId="5">
    <w:abstractNumId w:val="25"/>
  </w:num>
  <w:num w:numId="6">
    <w:abstractNumId w:val="15"/>
  </w:num>
  <w:num w:numId="7">
    <w:abstractNumId w:val="5"/>
  </w:num>
  <w:num w:numId="8">
    <w:abstractNumId w:val="30"/>
  </w:num>
  <w:num w:numId="9">
    <w:abstractNumId w:val="31"/>
  </w:num>
  <w:num w:numId="10">
    <w:abstractNumId w:val="3"/>
  </w:num>
  <w:num w:numId="11">
    <w:abstractNumId w:val="23"/>
  </w:num>
  <w:num w:numId="12">
    <w:abstractNumId w:val="1"/>
  </w:num>
  <w:num w:numId="13">
    <w:abstractNumId w:val="12"/>
  </w:num>
  <w:num w:numId="14">
    <w:abstractNumId w:val="21"/>
  </w:num>
  <w:num w:numId="15">
    <w:abstractNumId w:val="26"/>
  </w:num>
  <w:num w:numId="16">
    <w:abstractNumId w:val="2"/>
  </w:num>
  <w:num w:numId="17">
    <w:abstractNumId w:val="8"/>
  </w:num>
  <w:num w:numId="18">
    <w:abstractNumId w:val="9"/>
  </w:num>
  <w:num w:numId="19">
    <w:abstractNumId w:val="37"/>
  </w:num>
  <w:num w:numId="20">
    <w:abstractNumId w:val="7"/>
  </w:num>
  <w:num w:numId="21">
    <w:abstractNumId w:val="42"/>
  </w:num>
  <w:num w:numId="22">
    <w:abstractNumId w:val="29"/>
  </w:num>
  <w:num w:numId="23">
    <w:abstractNumId w:val="19"/>
  </w:num>
  <w:num w:numId="24">
    <w:abstractNumId w:val="0"/>
  </w:num>
  <w:num w:numId="25">
    <w:abstractNumId w:val="20"/>
  </w:num>
  <w:num w:numId="26">
    <w:abstractNumId w:val="6"/>
  </w:num>
  <w:num w:numId="27">
    <w:abstractNumId w:val="39"/>
  </w:num>
  <w:num w:numId="28">
    <w:abstractNumId w:val="17"/>
  </w:num>
  <w:num w:numId="29">
    <w:abstractNumId w:val="18"/>
  </w:num>
  <w:num w:numId="30">
    <w:abstractNumId w:val="22"/>
  </w:num>
  <w:num w:numId="31">
    <w:abstractNumId w:val="40"/>
  </w:num>
  <w:num w:numId="32">
    <w:abstractNumId w:val="35"/>
  </w:num>
  <w:num w:numId="33">
    <w:abstractNumId w:val="24"/>
  </w:num>
  <w:num w:numId="34">
    <w:abstractNumId w:val="4"/>
  </w:num>
  <w:num w:numId="35">
    <w:abstractNumId w:val="33"/>
  </w:num>
  <w:num w:numId="36">
    <w:abstractNumId w:val="28"/>
  </w:num>
  <w:num w:numId="37">
    <w:abstractNumId w:val="41"/>
  </w:num>
  <w:num w:numId="38">
    <w:abstractNumId w:val="13"/>
  </w:num>
  <w:num w:numId="39">
    <w:abstractNumId w:val="32"/>
  </w:num>
  <w:num w:numId="40">
    <w:abstractNumId w:val="34"/>
  </w:num>
  <w:num w:numId="41">
    <w:abstractNumId w:val="10"/>
  </w:num>
  <w:num w:numId="42">
    <w:abstractNumId w:val="36"/>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3B5"/>
    <w:rsid w:val="00224754"/>
    <w:rsid w:val="0035261E"/>
    <w:rsid w:val="003B62EF"/>
    <w:rsid w:val="005F2C8B"/>
    <w:rsid w:val="00612BA7"/>
    <w:rsid w:val="008F23B5"/>
    <w:rsid w:val="00BB3F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4850676-B984-4D50-B334-9A162DC7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after="180" w:line="360" w:lineRule="atLeast"/>
      <w:jc w:val="both"/>
      <w:textAlignment w:val="baseline"/>
    </w:pPr>
    <w:rPr>
      <w:rFonts w:ascii="Times New Roman" w:eastAsia="바탕" w:hAnsi="Times New Roman"/>
      <w:lang w:val="en-GB" w:eastAsia="en-US"/>
    </w:rPr>
  </w:style>
  <w:style w:type="paragraph" w:styleId="1">
    <w:name w:val="heading 1"/>
    <w:next w:val="a"/>
    <w:link w:val="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widowControl w:val="0"/>
      <w:adjustRightInd w:val="0"/>
      <w:spacing w:after="120" w:line="360" w:lineRule="atLeast"/>
      <w:jc w:val="both"/>
      <w:textAlignment w:val="baseline"/>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ind w:leftChars="0" w:left="1135" w:firstLineChars="0" w:hanging="284"/>
      <w:contextualSpacing w:val="0"/>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ind w:leftChars="0" w:left="1418" w:firstLineChars="0" w:hanging="284"/>
      <w:contextualSpacing w:val="0"/>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spacing w:before="60"/>
      <w:jc w:val="center"/>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60" w:lineRule="atLeast"/>
      <w:jc w:val="both"/>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tabs>
        <w:tab w:val="right" w:leader="dot" w:pos="9639"/>
      </w:tabs>
      <w:overflowPunct w:val="0"/>
      <w:autoSpaceDE w:val="0"/>
      <w:autoSpaceDN w:val="0"/>
      <w:spacing w:after="0" w:line="240" w:lineRule="auto"/>
      <w:ind w:leftChars="0" w:left="2268" w:right="425" w:hanging="2268"/>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spacing w:line="240" w:lineRule="auto"/>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표 구분선11"/>
    <w:basedOn w:val="a1"/>
    <w:next w:val="ab"/>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표 구분선3"/>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표 구분선4"/>
    <w:basedOn w:val="a1"/>
    <w:next w:val="ab"/>
    <w:qFormat/>
    <w:pPr>
      <w:spacing w:after="0" w:line="240" w:lineRule="auto"/>
      <w:jc w:val="both"/>
    </w:pPr>
    <w:rPr>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3.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A52F10-443C-4CF5-8871-3561B6F4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1086</Words>
  <Characters>6196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4</cp:revision>
  <dcterms:created xsi:type="dcterms:W3CDTF">2022-01-06T08:07:00Z</dcterms:created>
  <dcterms:modified xsi:type="dcterms:W3CDTF">2022-01-11T07:10:00Z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